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31" w:rsidRDefault="0042003E" w:rsidP="004056DF">
      <w:pPr>
        <w:spacing w:line="360" w:lineRule="auto"/>
        <w:jc w:val="center"/>
        <w:rPr>
          <w:rFonts w:asciiTheme="majorHAnsi" w:hAnsiTheme="majorHAnsi" w:cstheme="majorHAnsi"/>
          <w:sz w:val="26"/>
          <w:szCs w:val="26"/>
          <w:lang w:val="en-US"/>
        </w:rPr>
      </w:pPr>
      <w:bookmarkStart w:id="0" w:name="_GoBack"/>
      <w:r>
        <w:rPr>
          <w:rFonts w:asciiTheme="majorHAnsi" w:hAnsiTheme="majorHAnsi" w:cstheme="majorHAnsi"/>
          <w:sz w:val="26"/>
          <w:szCs w:val="26"/>
          <w:lang w:val="en-US"/>
        </w:rPr>
        <w:t>52 V</w:t>
      </w:r>
      <w:r w:rsidR="00F27DF4" w:rsidRPr="00F27DF4">
        <w:rPr>
          <w:rFonts w:asciiTheme="majorHAnsi" w:hAnsiTheme="majorHAnsi" w:cstheme="majorHAnsi"/>
          <w:sz w:val="26"/>
          <w:szCs w:val="26"/>
          <w:lang w:val="en-US"/>
        </w:rPr>
        <w:t>ăn bản hợp nhất</w:t>
      </w:r>
      <w:r>
        <w:rPr>
          <w:rFonts w:asciiTheme="majorHAnsi" w:hAnsiTheme="majorHAnsi" w:cstheme="majorHAnsi"/>
          <w:sz w:val="26"/>
          <w:szCs w:val="26"/>
          <w:lang w:val="en-US"/>
        </w:rPr>
        <w:t xml:space="preserve"> đang áp dụng</w:t>
      </w:r>
      <w:r w:rsidR="00F27DF4" w:rsidRPr="00F27DF4">
        <w:rPr>
          <w:rFonts w:asciiTheme="majorHAnsi" w:hAnsiTheme="majorHAnsi" w:cstheme="majorHAnsi"/>
          <w:sz w:val="26"/>
          <w:szCs w:val="26"/>
          <w:lang w:val="en-US"/>
        </w:rPr>
        <w:t xml:space="preserve"> trong lĩnh vực Hải quan năm 2020</w:t>
      </w:r>
    </w:p>
    <w:tbl>
      <w:tblPr>
        <w:tblStyle w:val="TableGrid"/>
        <w:tblW w:w="0" w:type="auto"/>
        <w:tblLook w:val="04A0" w:firstRow="1" w:lastRow="0" w:firstColumn="1" w:lastColumn="0" w:noHBand="0" w:noVBand="1"/>
      </w:tblPr>
      <w:tblGrid>
        <w:gridCol w:w="9180"/>
      </w:tblGrid>
      <w:tr w:rsidR="0042003E" w:rsidRPr="00F27DF4" w:rsidTr="0042003E">
        <w:tc>
          <w:tcPr>
            <w:tcW w:w="9180" w:type="dxa"/>
            <w:vAlign w:val="center"/>
          </w:tcPr>
          <w:bookmarkEnd w:id="0"/>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r w:rsidRPr="0042003E">
              <w:rPr>
                <w:rFonts w:asciiTheme="majorHAnsi" w:hAnsiTheme="majorHAnsi" w:cstheme="majorHAnsi"/>
                <w:bCs/>
                <w:sz w:val="26"/>
                <w:szCs w:val="26"/>
                <w:lang w:val="en-US"/>
              </w:rPr>
              <w:fldChar w:fldCharType="begin"/>
            </w:r>
            <w:r w:rsidRPr="0042003E">
              <w:rPr>
                <w:rFonts w:asciiTheme="majorHAnsi" w:hAnsiTheme="majorHAnsi" w:cstheme="majorHAnsi"/>
                <w:bCs/>
                <w:sz w:val="26"/>
                <w:szCs w:val="26"/>
                <w:lang w:val="en-US"/>
              </w:rPr>
              <w:instrText xml:space="preserve"> HYPERLINK "https://thukyluat.vn/vb/van-ban-hop-nhat-59-vbhn-bct-2020-thong-tu-xuat-khau-khoang-san-6e6a0.html" </w:instrText>
            </w:r>
            <w:r>
              <w:rPr>
                <w:lang w:val="en-US"/>
              </w:rPr>
            </w:r>
            <w:r w:rsidRPr="0042003E">
              <w:rPr>
                <w:rFonts w:asciiTheme="majorHAnsi" w:hAnsiTheme="majorHAnsi" w:cstheme="majorHAnsi"/>
                <w:bCs/>
                <w:sz w:val="26"/>
                <w:szCs w:val="26"/>
                <w:lang w:val="en-US"/>
              </w:rPr>
              <w:fldChar w:fldCharType="separate"/>
            </w:r>
            <w:r w:rsidRPr="0042003E">
              <w:rPr>
                <w:rStyle w:val="Hyperlink"/>
                <w:rFonts w:asciiTheme="majorHAnsi" w:hAnsiTheme="majorHAnsi" w:cstheme="majorHAnsi"/>
                <w:bCs/>
                <w:sz w:val="26"/>
                <w:szCs w:val="26"/>
                <w:lang w:val="en-US"/>
              </w:rPr>
              <w:t>Văn bản hợp nhất 59/VBHN-BCT năm 2020</w:t>
            </w:r>
            <w:r w:rsidRPr="0042003E">
              <w:rPr>
                <w:rFonts w:asciiTheme="majorHAnsi" w:hAnsiTheme="majorHAnsi" w:cstheme="majorHAnsi"/>
                <w:bCs/>
                <w:sz w:val="26"/>
                <w:szCs w:val="26"/>
                <w:lang w:val="en-US"/>
              </w:rPr>
              <w:fldChar w:fldCharType="end"/>
            </w:r>
            <w:r w:rsidRPr="0042003E">
              <w:rPr>
                <w:rFonts w:asciiTheme="majorHAnsi" w:hAnsiTheme="majorHAnsi" w:cstheme="majorHAnsi"/>
                <w:bCs/>
                <w:sz w:val="26"/>
                <w:szCs w:val="26"/>
                <w:lang w:val="en-US"/>
              </w:rPr>
              <w:t xml:space="preserve"> hợp nhất Thông tư quy định về xuất khẩu khoáng sản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6" w:history="1">
              <w:r w:rsidRPr="0042003E">
                <w:rPr>
                  <w:rStyle w:val="Hyperlink"/>
                  <w:rFonts w:asciiTheme="majorHAnsi" w:hAnsiTheme="majorHAnsi" w:cstheme="majorHAnsi"/>
                  <w:bCs/>
                  <w:sz w:val="26"/>
                  <w:szCs w:val="26"/>
                  <w:lang w:val="en-US"/>
                </w:rPr>
                <w:t>Văn bản hợp nhất 32/VBHN-BTC năm 2020</w:t>
              </w:r>
            </w:hyperlink>
            <w:r w:rsidRPr="0042003E">
              <w:rPr>
                <w:rFonts w:asciiTheme="majorHAnsi" w:hAnsiTheme="majorHAnsi" w:cstheme="majorHAnsi"/>
                <w:bCs/>
                <w:sz w:val="26"/>
                <w:szCs w:val="26"/>
                <w:lang w:val="en-US"/>
              </w:rPr>
              <w:t xml:space="preserve"> hợp nhất Nghị định Biểu thuế xuất khẩu, Biểu thuế nhập khẩu ưu đãi, Danh mục hàng hóa và mức thuế tuyệt đối, thuế hỗn hợp, thuế nhập khẩu ngoài hạn ngạch thuế quan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7" w:history="1">
              <w:r w:rsidRPr="0042003E">
                <w:rPr>
                  <w:rStyle w:val="Hyperlink"/>
                  <w:rFonts w:asciiTheme="majorHAnsi" w:hAnsiTheme="majorHAnsi" w:cstheme="majorHAnsi"/>
                  <w:bCs/>
                  <w:sz w:val="26"/>
                  <w:szCs w:val="26"/>
                  <w:lang w:val="en-US"/>
                </w:rPr>
                <w:t>Văn bản hợp nhất 29/VBHN-BTC năm 2020</w:t>
              </w:r>
            </w:hyperlink>
            <w:r w:rsidRPr="0042003E">
              <w:rPr>
                <w:rFonts w:asciiTheme="majorHAnsi" w:hAnsiTheme="majorHAnsi" w:cstheme="majorHAnsi"/>
                <w:bCs/>
                <w:sz w:val="26"/>
                <w:szCs w:val="26"/>
                <w:lang w:val="en-US"/>
              </w:rPr>
              <w:t xml:space="preserve"> hợp nhất Thông tư quy định về kiểm tra, giám sát, tạm dừng làm thủ tục hải quan đối với hàng hóa xuất khẩu, nhập khẩu có yêu cầu bảo vệ quyền sở hữu trí tuệ; kiểm soát hàng giả và hàng hóa xâm phạm quyền sở hữu trí tuệ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8" w:history="1">
              <w:r w:rsidRPr="0042003E">
                <w:rPr>
                  <w:rStyle w:val="Hyperlink"/>
                  <w:rFonts w:asciiTheme="majorHAnsi" w:hAnsiTheme="majorHAnsi" w:cstheme="majorHAnsi"/>
                  <w:bCs/>
                  <w:sz w:val="26"/>
                  <w:szCs w:val="26"/>
                  <w:lang w:val="en-US"/>
                </w:rPr>
                <w:t>Văn bản hợp nhất 54/VBHN-BCT năm 2020</w:t>
              </w:r>
            </w:hyperlink>
            <w:r w:rsidRPr="0042003E">
              <w:rPr>
                <w:rFonts w:asciiTheme="majorHAnsi" w:hAnsiTheme="majorHAnsi" w:cstheme="majorHAnsi"/>
                <w:bCs/>
                <w:sz w:val="26"/>
                <w:szCs w:val="26"/>
                <w:lang w:val="en-US"/>
              </w:rPr>
              <w:t xml:space="preserve"> hợp nhất Nghị định quy định về điều kiện sản xuất, lắp ráp, nhập khẩu và kinh doanh dịch vụ bảo hành, bảo dưỡng ô tô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9" w:history="1">
              <w:r w:rsidRPr="0042003E">
                <w:rPr>
                  <w:rStyle w:val="Hyperlink"/>
                  <w:rFonts w:asciiTheme="majorHAnsi" w:hAnsiTheme="majorHAnsi" w:cstheme="majorHAnsi"/>
                  <w:bCs/>
                  <w:sz w:val="26"/>
                  <w:szCs w:val="26"/>
                  <w:lang w:val="en-US"/>
                </w:rPr>
                <w:t>Văn bản hợp nhất 21/VBHN-BTC năm 2020</w:t>
              </w:r>
            </w:hyperlink>
            <w:r w:rsidRPr="0042003E">
              <w:rPr>
                <w:rFonts w:asciiTheme="majorHAnsi" w:hAnsiTheme="majorHAnsi" w:cstheme="majorHAnsi"/>
                <w:bCs/>
                <w:sz w:val="26"/>
                <w:szCs w:val="26"/>
                <w:lang w:val="en-US"/>
              </w:rPr>
              <w:t xml:space="preserve"> hợp nhất Thông tư quy định về trị giá hải quan đối với hàng hóa xuất khẩu, nhập khẩu do Bộ Tài chính ban hành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0" w:history="1">
              <w:r w:rsidRPr="0042003E">
                <w:rPr>
                  <w:rStyle w:val="Hyperlink"/>
                  <w:rFonts w:asciiTheme="majorHAnsi" w:hAnsiTheme="majorHAnsi" w:cstheme="majorHAnsi"/>
                  <w:bCs/>
                  <w:sz w:val="26"/>
                  <w:szCs w:val="26"/>
                  <w:lang w:val="en-US"/>
                </w:rPr>
                <w:t>Văn bản hợp nhất 02/VBHN-BGTVT năm 2020</w:t>
              </w:r>
            </w:hyperlink>
            <w:r w:rsidRPr="0042003E">
              <w:rPr>
                <w:rFonts w:asciiTheme="majorHAnsi" w:hAnsiTheme="majorHAnsi" w:cstheme="majorHAnsi"/>
                <w:bCs/>
                <w:sz w:val="26"/>
                <w:szCs w:val="26"/>
                <w:lang w:val="en-US"/>
              </w:rPr>
              <w:t xml:space="preserve"> hợp nhất Thông tư quy định về kiểm tra chất lượng an toàn kỹ thuật và bảo vệ môi trường đối với ô tô nhập khẩu thuộc đối tượng của Nghị định 116/2017/NĐ-CP do Bộ trưởng Bộ Giao thông vận tải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1" w:history="1">
              <w:r w:rsidRPr="0042003E">
                <w:rPr>
                  <w:rStyle w:val="Hyperlink"/>
                  <w:rFonts w:asciiTheme="majorHAnsi" w:hAnsiTheme="majorHAnsi" w:cstheme="majorHAnsi"/>
                  <w:bCs/>
                  <w:sz w:val="26"/>
                  <w:szCs w:val="26"/>
                  <w:lang w:val="en-US"/>
                </w:rPr>
                <w:t>Văn bản hợp nhất 05/VBHN-BCT năm 2020</w:t>
              </w:r>
            </w:hyperlink>
            <w:r w:rsidRPr="0042003E">
              <w:rPr>
                <w:rFonts w:asciiTheme="majorHAnsi" w:hAnsiTheme="majorHAnsi" w:cstheme="majorHAnsi"/>
                <w:bCs/>
                <w:sz w:val="26"/>
                <w:szCs w:val="26"/>
                <w:lang w:val="en-US"/>
              </w:rPr>
              <w:t xml:space="preserve"> hợp nhất Thông tư hướng dẫn Nghị định 107/2018/NĐ-CP về kinh doanh xuất khẩu gạo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2" w:history="1">
              <w:r w:rsidRPr="0042003E">
                <w:rPr>
                  <w:rStyle w:val="Hyperlink"/>
                  <w:rFonts w:asciiTheme="majorHAnsi" w:hAnsiTheme="majorHAnsi" w:cstheme="majorHAnsi"/>
                  <w:bCs/>
                  <w:sz w:val="26"/>
                  <w:szCs w:val="26"/>
                  <w:lang w:val="en-US"/>
                </w:rPr>
                <w:t>Văn bản hợp nhất 09/VBHN-BTC năm 2020</w:t>
              </w:r>
            </w:hyperlink>
            <w:r w:rsidRPr="0042003E">
              <w:rPr>
                <w:rFonts w:asciiTheme="majorHAnsi" w:hAnsiTheme="majorHAnsi" w:cstheme="majorHAnsi"/>
                <w:bCs/>
                <w:sz w:val="26"/>
                <w:szCs w:val="26"/>
                <w:lang w:val="en-US"/>
              </w:rPr>
              <w:t xml:space="preserve"> hợp nhất Thông tư quy định về phí, lệ phí hàng hải và biểu mức thu phí, lệ phí hàng hải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3" w:history="1">
              <w:r w:rsidRPr="0042003E">
                <w:rPr>
                  <w:rStyle w:val="Hyperlink"/>
                  <w:rFonts w:asciiTheme="majorHAnsi" w:hAnsiTheme="majorHAnsi" w:cstheme="majorHAnsi"/>
                  <w:bCs/>
                  <w:sz w:val="26"/>
                  <w:szCs w:val="26"/>
                  <w:lang w:val="en-US"/>
                </w:rPr>
                <w:t>Văn bản hợp nhất 03/VBHN-BTC năm 2020</w:t>
              </w:r>
            </w:hyperlink>
            <w:r w:rsidRPr="0042003E">
              <w:rPr>
                <w:rFonts w:asciiTheme="majorHAnsi" w:hAnsiTheme="majorHAnsi" w:cstheme="majorHAnsi"/>
                <w:bCs/>
                <w:sz w:val="26"/>
                <w:szCs w:val="26"/>
                <w:lang w:val="en-US"/>
              </w:rPr>
              <w:t xml:space="preserve"> hợp nhất Thông tư quy định về xác định xuất xứ hàng hóa xuất khẩu, nhập khẩu do Bộ trưởng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4" w:history="1">
              <w:r w:rsidRPr="0042003E">
                <w:rPr>
                  <w:rStyle w:val="Hyperlink"/>
                  <w:rFonts w:asciiTheme="majorHAnsi" w:hAnsiTheme="majorHAnsi" w:cstheme="majorHAnsi"/>
                  <w:bCs/>
                  <w:sz w:val="26"/>
                  <w:szCs w:val="26"/>
                  <w:lang w:val="en-US"/>
                </w:rPr>
                <w:t>Văn bản hợp nhất 02/VBHN-BTC năm 2020</w:t>
              </w:r>
            </w:hyperlink>
            <w:r w:rsidRPr="0042003E">
              <w:rPr>
                <w:rFonts w:asciiTheme="majorHAnsi" w:hAnsiTheme="majorHAnsi" w:cstheme="majorHAnsi"/>
                <w:bCs/>
                <w:sz w:val="26"/>
                <w:szCs w:val="26"/>
                <w:lang w:val="en-US"/>
              </w:rPr>
              <w:t xml:space="preserve"> hợp nhất Thông tư quy định thủ tục hải quan đối với thư, gói, kiện hàng hóa xuất khẩu, nhập khẩu gửi qua dịch vụ bưu chính của doanh nghiệp được chỉ định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5" w:history="1">
              <w:r w:rsidRPr="0042003E">
                <w:rPr>
                  <w:rStyle w:val="Hyperlink"/>
                  <w:rFonts w:asciiTheme="majorHAnsi" w:hAnsiTheme="majorHAnsi" w:cstheme="majorHAnsi"/>
                  <w:bCs/>
                  <w:sz w:val="26"/>
                  <w:szCs w:val="26"/>
                  <w:lang w:val="en-US"/>
                </w:rPr>
                <w:t>Văn bản hợp nhất 01/VBHN-BTC năm 2020</w:t>
              </w:r>
            </w:hyperlink>
            <w:r w:rsidRPr="0042003E">
              <w:rPr>
                <w:rFonts w:asciiTheme="majorHAnsi" w:hAnsiTheme="majorHAnsi" w:cstheme="majorHAnsi"/>
                <w:bCs/>
                <w:sz w:val="26"/>
                <w:szCs w:val="26"/>
                <w:lang w:val="en-US"/>
              </w:rPr>
              <w:t xml:space="preserve"> hợp nhất Thông tư quy định thủ tục hải quan đối với hàng hóa xuất khẩu, nhập khẩu, quá cảnh gửi qua dịch vụ chuyển phát nhanh quốc tế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6" w:history="1">
              <w:r w:rsidRPr="0042003E">
                <w:rPr>
                  <w:rStyle w:val="Hyperlink"/>
                  <w:rFonts w:asciiTheme="majorHAnsi" w:hAnsiTheme="majorHAnsi" w:cstheme="majorHAnsi"/>
                  <w:bCs/>
                  <w:sz w:val="26"/>
                  <w:szCs w:val="26"/>
                  <w:lang w:val="en-US"/>
                </w:rPr>
                <w:t>Văn bản hợp nhất 22/VBHN-NHNN năm 2019</w:t>
              </w:r>
            </w:hyperlink>
            <w:r w:rsidRPr="0042003E">
              <w:rPr>
                <w:rFonts w:asciiTheme="majorHAnsi" w:hAnsiTheme="majorHAnsi" w:cstheme="majorHAnsi"/>
                <w:bCs/>
                <w:sz w:val="26"/>
                <w:szCs w:val="26"/>
                <w:lang w:val="en-US"/>
              </w:rPr>
              <w:t xml:space="preserve"> hợp nhất Thông tư quy định việc nhập khẩu hàng hóa phục vụ hoạt động in, đúc tiền của Ngân hàng Nhà nước Việt Nam.</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7" w:history="1">
              <w:r w:rsidRPr="0042003E">
                <w:rPr>
                  <w:rStyle w:val="Hyperlink"/>
                  <w:rFonts w:asciiTheme="majorHAnsi" w:hAnsiTheme="majorHAnsi" w:cstheme="majorHAnsi"/>
                  <w:bCs/>
                  <w:sz w:val="26"/>
                  <w:szCs w:val="26"/>
                  <w:lang w:val="en-US"/>
                </w:rPr>
                <w:t>Văn bản hợp nhất 11/VBHN-BCT năm 2019</w:t>
              </w:r>
            </w:hyperlink>
            <w:r w:rsidRPr="0042003E">
              <w:rPr>
                <w:rFonts w:asciiTheme="majorHAnsi" w:hAnsiTheme="majorHAnsi" w:cstheme="majorHAnsi"/>
                <w:bCs/>
                <w:sz w:val="26"/>
                <w:szCs w:val="26"/>
                <w:lang w:val="en-US"/>
              </w:rPr>
              <w:t xml:space="preserve"> hợp nhất Thông tư quy định về thực hiện Quy tắc xuất xứ trong Hiệp định khu vực thương mại tự do ASEAN - Hàn Quốc do Bộ trưởng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8" w:anchor="_ftn1" w:history="1">
              <w:r w:rsidRPr="0042003E">
                <w:rPr>
                  <w:rStyle w:val="Hyperlink"/>
                  <w:rFonts w:asciiTheme="majorHAnsi" w:hAnsiTheme="majorHAnsi" w:cstheme="majorHAnsi"/>
                  <w:bCs/>
                  <w:sz w:val="26"/>
                  <w:szCs w:val="26"/>
                  <w:lang w:val="en-US"/>
                </w:rPr>
                <w:t>Văn bản hợp nhất 35/VBHN-BTC năm 2019</w:t>
              </w:r>
            </w:hyperlink>
            <w:r w:rsidRPr="0042003E">
              <w:rPr>
                <w:rFonts w:asciiTheme="majorHAnsi" w:hAnsiTheme="majorHAnsi" w:cstheme="majorHAnsi"/>
                <w:bCs/>
                <w:sz w:val="26"/>
                <w:szCs w:val="26"/>
                <w:lang w:val="en-US"/>
              </w:rPr>
              <w:t xml:space="preserve"> hợp nhất Thông tư hướng dẫn thủ tục cấp Chứng chỉ nghiệp vụ khai hải quan; cấp và thu hồi mã số nhân viên đại lý làm thủ tục hải quan; trình tự, thủ tục công nhận và hoạt động của đại lý làm thủ tục hải quan do Bộ trưởng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19" w:history="1">
              <w:r w:rsidRPr="0042003E">
                <w:rPr>
                  <w:rStyle w:val="Hyperlink"/>
                  <w:rFonts w:asciiTheme="majorHAnsi" w:hAnsiTheme="majorHAnsi" w:cstheme="majorHAnsi"/>
                  <w:bCs/>
                  <w:sz w:val="26"/>
                  <w:szCs w:val="26"/>
                  <w:lang w:val="en-US"/>
                </w:rPr>
                <w:t>Văn bản hợp nhất 04/VBHN-BNNPTNT năm 2019</w:t>
              </w:r>
            </w:hyperlink>
            <w:r w:rsidRPr="0042003E">
              <w:rPr>
                <w:rFonts w:asciiTheme="majorHAnsi" w:hAnsiTheme="majorHAnsi" w:cstheme="majorHAnsi"/>
                <w:bCs/>
                <w:sz w:val="26"/>
                <w:szCs w:val="26"/>
                <w:lang w:val="en-US"/>
              </w:rPr>
              <w:t xml:space="preserve"> hợp nhất Thông tư quy định về kiểm tra, chứng nhận an toàn thực phẩm thủy sản xuất khẩu do Bộ trưởng Bộ Nông nghiệp và Phát triển nông thôn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0" w:history="1">
              <w:r w:rsidRPr="0042003E">
                <w:rPr>
                  <w:rStyle w:val="Hyperlink"/>
                  <w:rFonts w:asciiTheme="majorHAnsi" w:hAnsiTheme="majorHAnsi" w:cstheme="majorHAnsi"/>
                  <w:bCs/>
                  <w:sz w:val="26"/>
                  <w:szCs w:val="26"/>
                  <w:lang w:val="en-US"/>
                </w:rPr>
                <w:t>Văn bản hợp nhất 29/VBHN-BTC năm 2019</w:t>
              </w:r>
            </w:hyperlink>
            <w:r w:rsidRPr="0042003E">
              <w:rPr>
                <w:rFonts w:asciiTheme="majorHAnsi" w:hAnsiTheme="majorHAnsi" w:cstheme="majorHAnsi"/>
                <w:bCs/>
                <w:sz w:val="26"/>
                <w:szCs w:val="26"/>
                <w:lang w:val="en-US"/>
              </w:rPr>
              <w:t xml:space="preserve"> hợp nhất Thông tư quy định áp dụng chế độ ưu tiên trong việc thực hiện thủ tục hải quan, kiểm tra, giám sát hải quan đối với hàng hóa xuất khẩu, nhập khẩu của doanh nghiệp do Bộ trưởng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1" w:history="1">
              <w:r w:rsidRPr="0042003E">
                <w:rPr>
                  <w:rStyle w:val="Hyperlink"/>
                  <w:rFonts w:asciiTheme="majorHAnsi" w:hAnsiTheme="majorHAnsi" w:cstheme="majorHAnsi"/>
                  <w:bCs/>
                  <w:sz w:val="26"/>
                  <w:szCs w:val="26"/>
                  <w:lang w:val="en-US"/>
                </w:rPr>
                <w:t>Văn bản hợp nhất 02/VBHN-BNNPTNT</w:t>
              </w:r>
            </w:hyperlink>
            <w:r w:rsidRPr="0042003E">
              <w:rPr>
                <w:rFonts w:asciiTheme="majorHAnsi" w:hAnsiTheme="majorHAnsi" w:cstheme="majorHAnsi"/>
                <w:bCs/>
                <w:sz w:val="26"/>
                <w:szCs w:val="26"/>
                <w:lang w:val="en-US"/>
              </w:rPr>
              <w:t xml:space="preserve"> năm 2019 hợp nhất Thông tư quy định về trình tự, thủ tục kiểm dịch thực vật nhập khẩu, xuất khẩu, quá cảnh và sau nhập khẩu vật thể thuộc diện kiểm dịch thực vật do Bộ Nông nghiệp và Phát triển nông thôn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2" w:history="1">
              <w:r w:rsidRPr="0042003E">
                <w:rPr>
                  <w:rStyle w:val="Hyperlink"/>
                  <w:rFonts w:asciiTheme="majorHAnsi" w:hAnsiTheme="majorHAnsi" w:cstheme="majorHAnsi"/>
                  <w:bCs/>
                  <w:sz w:val="26"/>
                  <w:szCs w:val="26"/>
                  <w:lang w:val="en-US"/>
                </w:rPr>
                <w:t>Văn bản hợp nhất 22/VBHN-BTC năm 2019</w:t>
              </w:r>
            </w:hyperlink>
            <w:r w:rsidRPr="0042003E">
              <w:rPr>
                <w:rFonts w:asciiTheme="majorHAnsi" w:hAnsiTheme="majorHAnsi" w:cstheme="majorHAnsi"/>
                <w:bCs/>
                <w:sz w:val="26"/>
                <w:szCs w:val="26"/>
                <w:lang w:val="en-US"/>
              </w:rPr>
              <w:t xml:space="preserve"> hợp nhất Thông tư quy định về thủ tục tạm nhập khẩu, tái xuất khẩu, tiêu hủy, chuyển nhượng xe ô tô, xe hai bánh gắn máy của đối tượng được hưởng quyền ưu đãi, miễn trừ tại Việt Nam do Bộ trưởng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3" w:history="1">
              <w:r w:rsidRPr="0042003E">
                <w:rPr>
                  <w:rStyle w:val="Hyperlink"/>
                  <w:rFonts w:asciiTheme="majorHAnsi" w:hAnsiTheme="majorHAnsi" w:cstheme="majorHAnsi"/>
                  <w:bCs/>
                  <w:sz w:val="26"/>
                  <w:szCs w:val="26"/>
                  <w:lang w:val="en-US"/>
                </w:rPr>
                <w:t>Văn bản hợp nhất 14/VBHN-BTC năm 2019</w:t>
              </w:r>
            </w:hyperlink>
            <w:r w:rsidRPr="0042003E">
              <w:rPr>
                <w:rFonts w:asciiTheme="majorHAnsi" w:hAnsiTheme="majorHAnsi" w:cstheme="majorHAnsi"/>
                <w:bCs/>
                <w:sz w:val="26"/>
                <w:szCs w:val="26"/>
                <w:lang w:val="en-US"/>
              </w:rPr>
              <w:t xml:space="preserve"> hợp nhất Thông tư quy định về mức thu, chế độ thu, nộp, quản lý và sử dụng phí xác nhận đủ điều kiện về bảo vệ môi trường trong nhập khẩu phế liệu làm nguyên liệu sản xuất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4" w:history="1">
              <w:r w:rsidRPr="0042003E">
                <w:rPr>
                  <w:rStyle w:val="Hyperlink"/>
                  <w:rFonts w:asciiTheme="majorHAnsi" w:hAnsiTheme="majorHAnsi" w:cstheme="majorHAnsi"/>
                  <w:bCs/>
                  <w:sz w:val="26"/>
                  <w:szCs w:val="26"/>
                  <w:lang w:val="en-US"/>
                </w:rPr>
                <w:t>Văn bản hợp nhất 01/VBHN-BTC năm 2019</w:t>
              </w:r>
            </w:hyperlink>
            <w:r w:rsidRPr="0042003E">
              <w:rPr>
                <w:rFonts w:asciiTheme="majorHAnsi" w:hAnsiTheme="majorHAnsi" w:cstheme="majorHAnsi"/>
                <w:bCs/>
                <w:sz w:val="26"/>
                <w:szCs w:val="26"/>
                <w:lang w:val="en-US"/>
              </w:rPr>
              <w:t xml:space="preserve"> hợp nhất Thông tư hướng dẫn nhập, xuất, mua, bán hàng dự trữ quốc gia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5" w:history="1">
              <w:r w:rsidRPr="0042003E">
                <w:rPr>
                  <w:rStyle w:val="Hyperlink"/>
                  <w:rFonts w:asciiTheme="majorHAnsi" w:hAnsiTheme="majorHAnsi" w:cstheme="majorHAnsi"/>
                  <w:bCs/>
                  <w:sz w:val="26"/>
                  <w:szCs w:val="26"/>
                  <w:lang w:val="en-US"/>
                </w:rPr>
                <w:t>Văn bản hợp nhất 08/VBHN-BGTVT năm 2018</w:t>
              </w:r>
            </w:hyperlink>
            <w:r w:rsidRPr="0042003E">
              <w:rPr>
                <w:rFonts w:asciiTheme="majorHAnsi" w:hAnsiTheme="majorHAnsi" w:cstheme="majorHAnsi"/>
                <w:bCs/>
                <w:sz w:val="26"/>
                <w:szCs w:val="26"/>
                <w:lang w:val="en-US"/>
              </w:rPr>
              <w:t xml:space="preserve"> hợp nhất Nghị định quy định về đối tượng, điều kiện được phép nhập khẩu, phá dỡ tàu biển đã qua sử dụng do Bộ Giao thông vận tải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6" w:history="1">
              <w:r w:rsidRPr="0042003E">
                <w:rPr>
                  <w:rStyle w:val="Hyperlink"/>
                  <w:rFonts w:asciiTheme="majorHAnsi" w:hAnsiTheme="majorHAnsi" w:cstheme="majorHAnsi"/>
                  <w:bCs/>
                  <w:sz w:val="26"/>
                  <w:szCs w:val="26"/>
                  <w:lang w:val="en-US"/>
                </w:rPr>
                <w:t>Văn bản hợp nhất 17/VBHN-VPQH năm 2018</w:t>
              </w:r>
            </w:hyperlink>
            <w:r w:rsidRPr="0042003E">
              <w:rPr>
                <w:rFonts w:asciiTheme="majorHAnsi" w:hAnsiTheme="majorHAnsi" w:cstheme="majorHAnsi"/>
                <w:bCs/>
                <w:sz w:val="26"/>
                <w:szCs w:val="26"/>
                <w:lang w:val="en-US"/>
              </w:rPr>
              <w:t xml:space="preserve"> hợp nhất Luật Hải quan do Văn phòng Quốc hội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7" w:history="1">
              <w:r w:rsidRPr="0042003E">
                <w:rPr>
                  <w:rStyle w:val="Hyperlink"/>
                  <w:rFonts w:asciiTheme="majorHAnsi" w:hAnsiTheme="majorHAnsi" w:cstheme="majorHAnsi"/>
                  <w:bCs/>
                  <w:sz w:val="26"/>
                  <w:szCs w:val="26"/>
                  <w:lang w:val="en-US"/>
                </w:rPr>
                <w:t>Văn bản hợp nhất 25/VBHN-BTC năm 2018</w:t>
              </w:r>
            </w:hyperlink>
            <w:r w:rsidRPr="0042003E">
              <w:rPr>
                <w:rFonts w:asciiTheme="majorHAnsi" w:hAnsiTheme="majorHAnsi" w:cstheme="majorHAnsi"/>
                <w:bCs/>
                <w:sz w:val="26"/>
                <w:szCs w:val="26"/>
                <w:lang w:val="en-US"/>
              </w:rPr>
              <w:t xml:space="preserve"> hợp nhất Thông tư quy định về thủ tục hải quan; kiểm tra, giám sát hải quan; thuế xuất khẩu, thuế nhập khẩu và quản lý thuế đối với hàng hóa xuất khẩu, nhập khẩu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8" w:history="1">
              <w:r w:rsidRPr="0042003E">
                <w:rPr>
                  <w:rStyle w:val="Hyperlink"/>
                  <w:rFonts w:asciiTheme="majorHAnsi" w:hAnsiTheme="majorHAnsi" w:cstheme="majorHAnsi"/>
                  <w:bCs/>
                  <w:sz w:val="26"/>
                  <w:szCs w:val="26"/>
                  <w:lang w:val="en-US"/>
                </w:rPr>
                <w:t>Văn bản hợp nhất 24/VBHN-BTC năm 2018</w:t>
              </w:r>
            </w:hyperlink>
            <w:r w:rsidRPr="0042003E">
              <w:rPr>
                <w:rFonts w:asciiTheme="majorHAnsi" w:hAnsiTheme="majorHAnsi" w:cstheme="majorHAnsi"/>
                <w:bCs/>
                <w:sz w:val="26"/>
                <w:szCs w:val="26"/>
                <w:lang w:val="en-US"/>
              </w:rPr>
              <w:t xml:space="preserve"> hợp nhất Nghị định hướng dẫn Luật Hải quan về thủ tục hải quan, kiểm tra, giám sát, kiểm soát hải quan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29" w:history="1">
              <w:r w:rsidRPr="0042003E">
                <w:rPr>
                  <w:rStyle w:val="Hyperlink"/>
                  <w:rFonts w:asciiTheme="majorHAnsi" w:hAnsiTheme="majorHAnsi" w:cstheme="majorHAnsi"/>
                  <w:bCs/>
                  <w:sz w:val="26"/>
                  <w:szCs w:val="26"/>
                  <w:lang w:val="en-US"/>
                </w:rPr>
                <w:t>Văn bản hợp nhất 2950/VBHN-BVHTTDL năm 2018</w:t>
              </w:r>
            </w:hyperlink>
            <w:r w:rsidRPr="0042003E">
              <w:rPr>
                <w:rFonts w:asciiTheme="majorHAnsi" w:hAnsiTheme="majorHAnsi" w:cstheme="majorHAnsi"/>
                <w:bCs/>
                <w:sz w:val="26"/>
                <w:szCs w:val="26"/>
                <w:lang w:val="en-US"/>
              </w:rPr>
              <w:t xml:space="preserve"> hợp nhất Thông tư hướng dẫn Nghị định 32/2012/NĐ-CP về quản lý xuất khẩu, nhập khẩu văn hóa phẩm không nhằm mục đích kinh doanh do Bộ trưởng Bộ Văn hóa, Thể thao và Du lịch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0" w:history="1">
              <w:r w:rsidRPr="0042003E">
                <w:rPr>
                  <w:rStyle w:val="Hyperlink"/>
                  <w:rFonts w:asciiTheme="majorHAnsi" w:hAnsiTheme="majorHAnsi" w:cstheme="majorHAnsi"/>
                  <w:bCs/>
                  <w:sz w:val="26"/>
                  <w:szCs w:val="26"/>
                  <w:lang w:val="en-US"/>
                </w:rPr>
                <w:t>Văn bản hợp nhất 08/VBHN-BNNPTNT năm 2018</w:t>
              </w:r>
            </w:hyperlink>
            <w:r w:rsidRPr="0042003E">
              <w:rPr>
                <w:rFonts w:asciiTheme="majorHAnsi" w:hAnsiTheme="majorHAnsi" w:cstheme="majorHAnsi"/>
                <w:bCs/>
                <w:sz w:val="26"/>
                <w:szCs w:val="26"/>
                <w:lang w:val="en-US"/>
              </w:rPr>
              <w:t xml:space="preserve"> hợp nhất Thông tư hướng dẫn việc quy định Giấy chứng nhận lưu hành tự do đối với sản phẩm, hàng hóa xuất khẩu và nhập khẩu thuộc trách nhiệm quản lý của Bộ Nông nghiệp và Phát triển nông thôn.</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1" w:history="1">
              <w:r w:rsidRPr="0042003E">
                <w:rPr>
                  <w:rStyle w:val="Hyperlink"/>
                  <w:rFonts w:asciiTheme="majorHAnsi" w:hAnsiTheme="majorHAnsi" w:cstheme="majorHAnsi"/>
                  <w:bCs/>
                  <w:sz w:val="26"/>
                  <w:szCs w:val="26"/>
                  <w:lang w:val="en-US"/>
                </w:rPr>
                <w:t>Văn bản hợp nhất 17/VBHN-BTC năm 2018</w:t>
              </w:r>
            </w:hyperlink>
            <w:r w:rsidRPr="0042003E">
              <w:rPr>
                <w:rFonts w:asciiTheme="majorHAnsi" w:hAnsiTheme="majorHAnsi" w:cstheme="majorHAnsi"/>
                <w:bCs/>
                <w:sz w:val="26"/>
                <w:szCs w:val="26"/>
                <w:lang w:val="en-US"/>
              </w:rPr>
              <w:t xml:space="preserve"> hợp nhất Quyết định về tạm nhập khẩu, tái xuất khẩu, tiêu hủy, chuyển nhượng đối với xe ô tô, xe hai bánh gắn máy của đối tượng được hưởng quyền ưu đãi, miễn trừ tại Việt Nam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2" w:history="1">
              <w:r w:rsidRPr="0042003E">
                <w:rPr>
                  <w:rStyle w:val="Hyperlink"/>
                  <w:rFonts w:asciiTheme="majorHAnsi" w:hAnsiTheme="majorHAnsi" w:cstheme="majorHAnsi"/>
                  <w:bCs/>
                  <w:sz w:val="26"/>
                  <w:szCs w:val="26"/>
                  <w:lang w:val="en-US"/>
                </w:rPr>
                <w:t>Văn bản hợp nhất 05/VBHN-BCT năm 2018</w:t>
              </w:r>
            </w:hyperlink>
            <w:r w:rsidRPr="0042003E">
              <w:rPr>
                <w:rFonts w:asciiTheme="majorHAnsi" w:hAnsiTheme="majorHAnsi" w:cstheme="majorHAnsi"/>
                <w:bCs/>
                <w:sz w:val="26"/>
                <w:szCs w:val="26"/>
                <w:lang w:val="en-US"/>
              </w:rPr>
              <w:t xml:space="preserve"> về hợp nhất Thông tư quy định </w:t>
            </w:r>
            <w:r w:rsidRPr="0042003E">
              <w:rPr>
                <w:rFonts w:asciiTheme="majorHAnsi" w:hAnsiTheme="majorHAnsi" w:cstheme="majorHAnsi"/>
                <w:bCs/>
                <w:sz w:val="26"/>
                <w:szCs w:val="26"/>
                <w:lang w:val="en-US"/>
              </w:rPr>
              <w:lastRenderedPageBreak/>
              <w:t>về xuất khẩu than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3" w:history="1">
              <w:r w:rsidRPr="0042003E">
                <w:rPr>
                  <w:rStyle w:val="Hyperlink"/>
                  <w:rFonts w:asciiTheme="majorHAnsi" w:hAnsiTheme="majorHAnsi" w:cstheme="majorHAnsi"/>
                  <w:bCs/>
                  <w:sz w:val="26"/>
                  <w:szCs w:val="26"/>
                  <w:lang w:val="en-US"/>
                </w:rPr>
                <w:t>Văn bản hợp nhất 03/VBHN-BCT năm 2018</w:t>
              </w:r>
            </w:hyperlink>
            <w:r w:rsidRPr="0042003E">
              <w:rPr>
                <w:rFonts w:asciiTheme="majorHAnsi" w:hAnsiTheme="majorHAnsi" w:cstheme="majorHAnsi"/>
                <w:bCs/>
                <w:sz w:val="26"/>
                <w:szCs w:val="26"/>
                <w:lang w:val="en-US"/>
              </w:rPr>
              <w:t xml:space="preserve"> về hợp nhất Thông tư quy định về xuất khẩu khoáng sản do Bộ trưởng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4" w:history="1">
              <w:r w:rsidRPr="0042003E">
                <w:rPr>
                  <w:rStyle w:val="Hyperlink"/>
                  <w:rFonts w:asciiTheme="majorHAnsi" w:hAnsiTheme="majorHAnsi" w:cstheme="majorHAnsi"/>
                  <w:bCs/>
                  <w:sz w:val="26"/>
                  <w:szCs w:val="26"/>
                  <w:lang w:val="en-US"/>
                </w:rPr>
                <w:t>Văn bản hợp nhất 17/VBHN-BCT năm 2017</w:t>
              </w:r>
            </w:hyperlink>
            <w:r w:rsidRPr="0042003E">
              <w:rPr>
                <w:rFonts w:asciiTheme="majorHAnsi" w:hAnsiTheme="majorHAnsi" w:cstheme="majorHAnsi"/>
                <w:bCs/>
                <w:sz w:val="26"/>
                <w:szCs w:val="26"/>
                <w:lang w:val="en-US"/>
              </w:rPr>
              <w:t xml:space="preserve"> về hợp nhất Thông tư liên tịch quy định quản lý chất lượng thép sản xuất trong nước và thép nhập khẩu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5" w:history="1">
              <w:r w:rsidRPr="0042003E">
                <w:rPr>
                  <w:rStyle w:val="Hyperlink"/>
                  <w:rFonts w:asciiTheme="majorHAnsi" w:hAnsiTheme="majorHAnsi" w:cstheme="majorHAnsi"/>
                  <w:bCs/>
                  <w:sz w:val="26"/>
                  <w:szCs w:val="26"/>
                  <w:lang w:val="en-US"/>
                </w:rPr>
                <w:t>Văn bản hợp nhất 15/VBHN-BCT năm 2017</w:t>
              </w:r>
            </w:hyperlink>
            <w:r w:rsidRPr="0042003E">
              <w:rPr>
                <w:rFonts w:asciiTheme="majorHAnsi" w:hAnsiTheme="majorHAnsi" w:cstheme="majorHAnsi"/>
                <w:bCs/>
                <w:sz w:val="26"/>
                <w:szCs w:val="26"/>
                <w:lang w:val="en-US"/>
              </w:rPr>
              <w:t xml:space="preserve"> hợp nhất Thông tư quy định về quá cảnh hàng hóa của Lào qua lãnh thổ Việt Nam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6" w:history="1">
              <w:r w:rsidRPr="0042003E">
                <w:rPr>
                  <w:rStyle w:val="Hyperlink"/>
                  <w:rFonts w:asciiTheme="majorHAnsi" w:hAnsiTheme="majorHAnsi" w:cstheme="majorHAnsi"/>
                  <w:bCs/>
                  <w:sz w:val="26"/>
                  <w:szCs w:val="26"/>
                  <w:lang w:val="en-US"/>
                </w:rPr>
                <w:t>Văn bản hợp nhất 06/VBHN-BKHCN năm 2017</w:t>
              </w:r>
            </w:hyperlink>
            <w:r w:rsidRPr="0042003E">
              <w:rPr>
                <w:rFonts w:asciiTheme="majorHAnsi" w:hAnsiTheme="majorHAnsi" w:cstheme="majorHAnsi"/>
                <w:bCs/>
                <w:sz w:val="26"/>
                <w:szCs w:val="26"/>
                <w:lang w:val="en-US"/>
              </w:rPr>
              <w:t xml:space="preserve"> về hợp nhất Thông tư quy định việc kiểm tra nhà nước về chất lượng hàng hóa nhập khẩu thuộc trách nhiệm quản lý của Bộ Khoa học và Công nghệ.</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7" w:history="1">
              <w:r w:rsidRPr="0042003E">
                <w:rPr>
                  <w:rStyle w:val="Hyperlink"/>
                  <w:rFonts w:asciiTheme="majorHAnsi" w:hAnsiTheme="majorHAnsi" w:cstheme="majorHAnsi"/>
                  <w:bCs/>
                  <w:sz w:val="26"/>
                  <w:szCs w:val="26"/>
                  <w:lang w:val="en-US"/>
                </w:rPr>
                <w:t>Văn bản hợp nhất 07/VBHN-BNNPTNT năm 2017</w:t>
              </w:r>
            </w:hyperlink>
            <w:r w:rsidRPr="0042003E">
              <w:rPr>
                <w:rFonts w:asciiTheme="majorHAnsi" w:hAnsiTheme="majorHAnsi" w:cstheme="majorHAnsi"/>
                <w:bCs/>
                <w:sz w:val="26"/>
                <w:szCs w:val="26"/>
                <w:lang w:val="en-US"/>
              </w:rPr>
              <w:t xml:space="preserve"> hợp nhất Thông tư quy định về kiểm tra, chứng nhận an toàn thực phẩm thủy sản xuất khẩu do Bộ Nông nghiệp và Phát triển nông thôn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8" w:history="1">
              <w:r w:rsidRPr="0042003E">
                <w:rPr>
                  <w:rStyle w:val="Hyperlink"/>
                  <w:rFonts w:asciiTheme="majorHAnsi" w:hAnsiTheme="majorHAnsi" w:cstheme="majorHAnsi"/>
                  <w:bCs/>
                  <w:sz w:val="26"/>
                  <w:szCs w:val="26"/>
                  <w:lang w:val="en-US"/>
                </w:rPr>
                <w:t>Văn bản hợp nhất 10/VBHN-BTC năm 2016</w:t>
              </w:r>
            </w:hyperlink>
            <w:r w:rsidRPr="0042003E">
              <w:rPr>
                <w:rFonts w:asciiTheme="majorHAnsi" w:hAnsiTheme="majorHAnsi" w:cstheme="majorHAnsi"/>
                <w:bCs/>
                <w:sz w:val="26"/>
                <w:szCs w:val="26"/>
                <w:lang w:val="en-US"/>
              </w:rPr>
              <w:t xml:space="preserve"> hợp nhất Nghị định quy định xử phạt </w:t>
            </w:r>
            <w:proofErr w:type="gramStart"/>
            <w:r w:rsidRPr="0042003E">
              <w:rPr>
                <w:rFonts w:asciiTheme="majorHAnsi" w:hAnsiTheme="majorHAnsi" w:cstheme="majorHAnsi"/>
                <w:bCs/>
                <w:sz w:val="26"/>
                <w:szCs w:val="26"/>
                <w:lang w:val="en-US"/>
              </w:rPr>
              <w:t>vi</w:t>
            </w:r>
            <w:proofErr w:type="gramEnd"/>
            <w:r w:rsidRPr="0042003E">
              <w:rPr>
                <w:rFonts w:asciiTheme="majorHAnsi" w:hAnsiTheme="majorHAnsi" w:cstheme="majorHAnsi"/>
                <w:bCs/>
                <w:sz w:val="26"/>
                <w:szCs w:val="26"/>
                <w:lang w:val="en-US"/>
              </w:rPr>
              <w:t xml:space="preserve"> phạm hành chính và cưỡng chế thi hành quyết định hành chính trong lĩnh vực hải quan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39" w:history="1">
              <w:r w:rsidRPr="0042003E">
                <w:rPr>
                  <w:rStyle w:val="Hyperlink"/>
                  <w:rFonts w:asciiTheme="majorHAnsi" w:hAnsiTheme="majorHAnsi" w:cstheme="majorHAnsi"/>
                  <w:bCs/>
                  <w:sz w:val="26"/>
                  <w:szCs w:val="26"/>
                  <w:lang w:val="en-US"/>
                </w:rPr>
                <w:t>Văn bản hợp nhất 2641/VBHN-BVHTTDL năm 2016</w:t>
              </w:r>
            </w:hyperlink>
            <w:r w:rsidRPr="0042003E">
              <w:rPr>
                <w:rFonts w:asciiTheme="majorHAnsi" w:hAnsiTheme="majorHAnsi" w:cstheme="majorHAnsi"/>
                <w:bCs/>
                <w:sz w:val="26"/>
                <w:szCs w:val="26"/>
                <w:lang w:val="en-US"/>
              </w:rPr>
              <w:t xml:space="preserve"> hợp nhất Thông tư hướng dẫn Nghị định 32/2012/NĐ-CP về quản lý xuất, nhập khẩu văn hóa phẩm không nhằm mục đích kinh doanh do Bộ trưởng Bộ Văn hóa, Thể thao và Du lịch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0" w:history="1">
              <w:r w:rsidRPr="0042003E">
                <w:rPr>
                  <w:rStyle w:val="Hyperlink"/>
                  <w:rFonts w:asciiTheme="majorHAnsi" w:hAnsiTheme="majorHAnsi" w:cstheme="majorHAnsi"/>
                  <w:bCs/>
                  <w:sz w:val="26"/>
                  <w:szCs w:val="26"/>
                  <w:lang w:val="en-US"/>
                </w:rPr>
                <w:t>Văn bản hợp nhất 03/VBHN-BYT năm 2016</w:t>
              </w:r>
            </w:hyperlink>
            <w:r w:rsidRPr="0042003E">
              <w:rPr>
                <w:rFonts w:asciiTheme="majorHAnsi" w:hAnsiTheme="majorHAnsi" w:cstheme="majorHAnsi"/>
                <w:bCs/>
                <w:sz w:val="26"/>
                <w:szCs w:val="26"/>
                <w:lang w:val="en-US"/>
              </w:rPr>
              <w:t xml:space="preserve"> hợp nhất Thông tư hướng dẫn hoạt động xuất khẩu, nhập khẩu thuốc và bao bì tiếp xúc trực tiếp với thuốc do Bộ trưởng Bộ Y tế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1" w:history="1">
              <w:r w:rsidRPr="0042003E">
                <w:rPr>
                  <w:rStyle w:val="Hyperlink"/>
                  <w:rFonts w:asciiTheme="majorHAnsi" w:hAnsiTheme="majorHAnsi" w:cstheme="majorHAnsi"/>
                  <w:bCs/>
                  <w:sz w:val="26"/>
                  <w:szCs w:val="26"/>
                  <w:lang w:val="en-US"/>
                </w:rPr>
                <w:t>Văn bản hợp nhất 01/VBHN-BNNPTNT năm 2016</w:t>
              </w:r>
            </w:hyperlink>
            <w:r w:rsidRPr="0042003E">
              <w:rPr>
                <w:rFonts w:asciiTheme="majorHAnsi" w:hAnsiTheme="majorHAnsi" w:cstheme="majorHAnsi"/>
                <w:bCs/>
                <w:sz w:val="26"/>
                <w:szCs w:val="26"/>
                <w:lang w:val="en-US"/>
              </w:rPr>
              <w:t xml:space="preserve"> hợp nhất Thông tư quy định về kiểm dịch nhập khẩu trâu, bò từ các nước Lào và Cămpuchia vào Việt Nam do Bộ Nông nghiệp và Phát triển nông thôn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2" w:history="1">
              <w:r w:rsidRPr="0042003E">
                <w:rPr>
                  <w:rStyle w:val="Hyperlink"/>
                  <w:rFonts w:asciiTheme="majorHAnsi" w:hAnsiTheme="majorHAnsi" w:cstheme="majorHAnsi"/>
                  <w:bCs/>
                  <w:sz w:val="26"/>
                  <w:szCs w:val="26"/>
                  <w:lang w:val="en-US"/>
                </w:rPr>
                <w:t>Văn bản hợp nhất 22/VBHN-BNNPTNT năm 2015</w:t>
              </w:r>
            </w:hyperlink>
            <w:r w:rsidRPr="0042003E">
              <w:rPr>
                <w:rFonts w:asciiTheme="majorHAnsi" w:hAnsiTheme="majorHAnsi" w:cstheme="majorHAnsi"/>
                <w:bCs/>
                <w:sz w:val="26"/>
                <w:szCs w:val="26"/>
                <w:lang w:val="en-US"/>
              </w:rPr>
              <w:t xml:space="preserve"> hợp nhất Thông tư hướng dẫn việc quy định Giấy chứng nhận lưu hành tự do đối với sản phẩm, hàng hóa xuất khẩu và nhập khẩu thuộc trách nhiệm quản lý của Bộ Nông nghiệp và </w:t>
            </w:r>
            <w:r w:rsidRPr="0042003E">
              <w:rPr>
                <w:rFonts w:asciiTheme="majorHAnsi" w:hAnsiTheme="majorHAnsi" w:cstheme="majorHAnsi"/>
                <w:bCs/>
                <w:sz w:val="26"/>
                <w:szCs w:val="26"/>
                <w:lang w:val="en-US"/>
              </w:rPr>
              <w:lastRenderedPageBreak/>
              <w:t>Phát triển nông thôn.</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3" w:history="1">
              <w:r w:rsidRPr="0042003E">
                <w:rPr>
                  <w:rStyle w:val="Hyperlink"/>
                  <w:rFonts w:asciiTheme="majorHAnsi" w:hAnsiTheme="majorHAnsi" w:cstheme="majorHAnsi"/>
                  <w:bCs/>
                  <w:sz w:val="26"/>
                  <w:szCs w:val="26"/>
                  <w:lang w:val="en-US"/>
                </w:rPr>
                <w:t>Văn bản hợp nhất 09/VBHN-BTC năm 2015</w:t>
              </w:r>
            </w:hyperlink>
            <w:r w:rsidRPr="0042003E">
              <w:rPr>
                <w:rFonts w:asciiTheme="majorHAnsi" w:hAnsiTheme="majorHAnsi" w:cstheme="majorHAnsi"/>
                <w:bCs/>
                <w:sz w:val="26"/>
                <w:szCs w:val="26"/>
                <w:lang w:val="en-US"/>
              </w:rPr>
              <w:t xml:space="preserve"> hợp nhất Nghị định hướng dẫn Luật Thuế xuất khẩu, thuế nhập khẩu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4" w:history="1">
              <w:r w:rsidRPr="0042003E">
                <w:rPr>
                  <w:rStyle w:val="Hyperlink"/>
                  <w:rFonts w:asciiTheme="majorHAnsi" w:hAnsiTheme="majorHAnsi" w:cstheme="majorHAnsi"/>
                  <w:bCs/>
                  <w:sz w:val="26"/>
                  <w:szCs w:val="26"/>
                  <w:lang w:val="en-US"/>
                </w:rPr>
                <w:t>Văn bản hợp nhất 15/VBHN-BNNPTNT năm 2015</w:t>
              </w:r>
            </w:hyperlink>
            <w:r w:rsidRPr="0042003E">
              <w:rPr>
                <w:rFonts w:asciiTheme="majorHAnsi" w:hAnsiTheme="majorHAnsi" w:cstheme="majorHAnsi"/>
                <w:bCs/>
                <w:sz w:val="26"/>
                <w:szCs w:val="26"/>
                <w:lang w:val="en-US"/>
              </w:rPr>
              <w:t xml:space="preserve"> hợp nhất Nghị định về nhập khẩu tàu cá do Bộ Nông nghiệp và Phát triển nông thôn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5" w:history="1">
              <w:r w:rsidRPr="0042003E">
                <w:rPr>
                  <w:rStyle w:val="Hyperlink"/>
                  <w:rFonts w:asciiTheme="majorHAnsi" w:hAnsiTheme="majorHAnsi" w:cstheme="majorHAnsi"/>
                  <w:bCs/>
                  <w:sz w:val="26"/>
                  <w:szCs w:val="26"/>
                  <w:lang w:val="en-US"/>
                </w:rPr>
                <w:t>Văn bản hợp nhất 02/VBHN-BGTVT năm 2015</w:t>
              </w:r>
            </w:hyperlink>
            <w:r w:rsidRPr="0042003E">
              <w:rPr>
                <w:rFonts w:asciiTheme="majorHAnsi" w:hAnsiTheme="majorHAnsi" w:cstheme="majorHAnsi"/>
                <w:bCs/>
                <w:sz w:val="26"/>
                <w:szCs w:val="26"/>
                <w:lang w:val="en-US"/>
              </w:rPr>
              <w:t xml:space="preserve"> hợp nhất Thông tư quy định về kiểm tra chất lượng an toàn kỹ thuật và bảo vệ môi trường xe cơ giới nhập khẩu do Bộ giao thông vận tải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6" w:history="1">
              <w:r w:rsidRPr="0042003E">
                <w:rPr>
                  <w:rStyle w:val="Hyperlink"/>
                  <w:rFonts w:asciiTheme="majorHAnsi" w:hAnsiTheme="majorHAnsi" w:cstheme="majorHAnsi"/>
                  <w:bCs/>
                  <w:sz w:val="26"/>
                  <w:szCs w:val="26"/>
                  <w:lang w:val="en-US"/>
                </w:rPr>
                <w:t>Văn bản hợp nhất 19/VBHN-VPQH năm 2014</w:t>
              </w:r>
            </w:hyperlink>
            <w:r w:rsidRPr="0042003E">
              <w:rPr>
                <w:rFonts w:asciiTheme="majorHAnsi" w:hAnsiTheme="majorHAnsi" w:cstheme="majorHAnsi"/>
                <w:bCs/>
                <w:sz w:val="26"/>
                <w:szCs w:val="26"/>
                <w:lang w:val="en-US"/>
              </w:rPr>
              <w:t xml:space="preserve"> hợp nhất Luật thuế xuất khẩu, thuế nhập khẩu do Văn phòng Quốc hội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7" w:history="1">
              <w:r w:rsidRPr="0042003E">
                <w:rPr>
                  <w:rStyle w:val="Hyperlink"/>
                  <w:rFonts w:asciiTheme="majorHAnsi" w:hAnsiTheme="majorHAnsi" w:cstheme="majorHAnsi"/>
                  <w:bCs/>
                  <w:sz w:val="26"/>
                  <w:szCs w:val="26"/>
                  <w:lang w:val="en-US"/>
                </w:rPr>
                <w:t>Văn bản hợp nhất 07/VBHN-VPQH năm 2014</w:t>
              </w:r>
            </w:hyperlink>
            <w:r w:rsidRPr="0042003E">
              <w:rPr>
                <w:rFonts w:asciiTheme="majorHAnsi" w:hAnsiTheme="majorHAnsi" w:cstheme="majorHAnsi"/>
                <w:bCs/>
                <w:sz w:val="26"/>
                <w:szCs w:val="26"/>
                <w:lang w:val="en-US"/>
              </w:rPr>
              <w:t xml:space="preserve"> hợp nhất Luật hải quan do Văn phòng Quốc hội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8" w:history="1">
              <w:r w:rsidRPr="0042003E">
                <w:rPr>
                  <w:rStyle w:val="Hyperlink"/>
                  <w:rFonts w:asciiTheme="majorHAnsi" w:hAnsiTheme="majorHAnsi" w:cstheme="majorHAnsi"/>
                  <w:bCs/>
                  <w:sz w:val="26"/>
                  <w:szCs w:val="26"/>
                  <w:lang w:val="en-US"/>
                </w:rPr>
                <w:t>Văn bản hợp nhất 09/VBHN-BYT năm 2014</w:t>
              </w:r>
            </w:hyperlink>
            <w:r w:rsidRPr="0042003E">
              <w:rPr>
                <w:rFonts w:asciiTheme="majorHAnsi" w:hAnsiTheme="majorHAnsi" w:cstheme="majorHAnsi"/>
                <w:bCs/>
                <w:sz w:val="26"/>
                <w:szCs w:val="26"/>
                <w:lang w:val="en-US"/>
              </w:rPr>
              <w:t xml:space="preserve"> hợp nhất Thông tư hướng dẫn hoạt động xuất, nhập khẩu thuốc và bao bì tiếp xúc trực tiếp với thuốc do Bộ trưởng Bộ Y tế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49" w:history="1">
              <w:r w:rsidRPr="0042003E">
                <w:rPr>
                  <w:rStyle w:val="Hyperlink"/>
                  <w:rFonts w:asciiTheme="majorHAnsi" w:hAnsiTheme="majorHAnsi" w:cstheme="majorHAnsi"/>
                  <w:bCs/>
                  <w:sz w:val="26"/>
                  <w:szCs w:val="26"/>
                  <w:lang w:val="en-US"/>
                </w:rPr>
                <w:t>Văn bản hợp nhất 23/VBHN-BCT năm 2014</w:t>
              </w:r>
            </w:hyperlink>
            <w:r w:rsidRPr="0042003E">
              <w:rPr>
                <w:rFonts w:asciiTheme="majorHAnsi" w:hAnsiTheme="majorHAnsi" w:cstheme="majorHAnsi"/>
                <w:bCs/>
                <w:sz w:val="26"/>
                <w:szCs w:val="26"/>
                <w:lang w:val="en-US"/>
              </w:rPr>
              <w:t xml:space="preserve"> hợp nhất Thông tư quy định thủ tục cấp Giấy chứng nhận xuất xứ hàng hóa ưu đãi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0" w:history="1">
              <w:r w:rsidRPr="0042003E">
                <w:rPr>
                  <w:rStyle w:val="Hyperlink"/>
                  <w:rFonts w:asciiTheme="majorHAnsi" w:hAnsiTheme="majorHAnsi" w:cstheme="majorHAnsi"/>
                  <w:bCs/>
                  <w:sz w:val="26"/>
                  <w:szCs w:val="26"/>
                  <w:lang w:val="en-US"/>
                </w:rPr>
                <w:t>Văn bản hợp nhất 11/VBHN-NHNN năm 2014</w:t>
              </w:r>
            </w:hyperlink>
            <w:r w:rsidRPr="0042003E">
              <w:rPr>
                <w:rFonts w:asciiTheme="majorHAnsi" w:hAnsiTheme="majorHAnsi" w:cstheme="majorHAnsi"/>
                <w:bCs/>
                <w:sz w:val="26"/>
                <w:szCs w:val="26"/>
                <w:lang w:val="en-US"/>
              </w:rPr>
              <w:t xml:space="preserve"> hợp nhất Quyết định về Quy chế thanh toán trong mua bán, trao đổi hàng hóa và dịch vụ tại khu vực biên giới và khu kinh tế cửa khẩu giữa Việt Nam - Trung Quốc do Ngân hàng Nhà nước Việt Nam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1" w:history="1">
              <w:r w:rsidRPr="0042003E">
                <w:rPr>
                  <w:rStyle w:val="Hyperlink"/>
                  <w:rFonts w:asciiTheme="majorHAnsi" w:hAnsiTheme="majorHAnsi" w:cstheme="majorHAnsi"/>
                  <w:bCs/>
                  <w:sz w:val="26"/>
                  <w:szCs w:val="26"/>
                  <w:lang w:val="en-US"/>
                </w:rPr>
                <w:t>Văn bản hợp nhất 11/VBHN-BTC năm 2014</w:t>
              </w:r>
            </w:hyperlink>
            <w:r w:rsidRPr="0042003E">
              <w:rPr>
                <w:rFonts w:asciiTheme="majorHAnsi" w:hAnsiTheme="majorHAnsi" w:cstheme="majorHAnsi"/>
                <w:bCs/>
                <w:sz w:val="26"/>
                <w:szCs w:val="26"/>
                <w:lang w:val="en-US"/>
              </w:rPr>
              <w:t xml:space="preserve"> hợp nhất Quyết định Quy định về mẫu, hướng dẫn sử dụng, in phát hành và quản lý tờ khai nhập cảnh / xuất cảnh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2" w:history="1">
              <w:r w:rsidRPr="0042003E">
                <w:rPr>
                  <w:rStyle w:val="Hyperlink"/>
                  <w:rFonts w:asciiTheme="majorHAnsi" w:hAnsiTheme="majorHAnsi" w:cstheme="majorHAnsi"/>
                  <w:bCs/>
                  <w:sz w:val="26"/>
                  <w:szCs w:val="26"/>
                  <w:lang w:val="en-US"/>
                </w:rPr>
                <w:t>Văn bản hợp nhất 03/VBHN-BCT năm 2014</w:t>
              </w:r>
            </w:hyperlink>
            <w:r w:rsidRPr="0042003E">
              <w:rPr>
                <w:rFonts w:asciiTheme="majorHAnsi" w:hAnsiTheme="majorHAnsi" w:cstheme="majorHAnsi"/>
                <w:bCs/>
                <w:sz w:val="26"/>
                <w:szCs w:val="26"/>
                <w:lang w:val="en-US"/>
              </w:rPr>
              <w:t xml:space="preserve"> hợp nhất Thông tư quy định việc nhập khẩu thuốc lá phục vụ kinh doanh bán hàng miễn thuế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3" w:history="1">
              <w:r w:rsidRPr="0042003E">
                <w:rPr>
                  <w:rStyle w:val="Hyperlink"/>
                  <w:rFonts w:asciiTheme="majorHAnsi" w:hAnsiTheme="majorHAnsi" w:cstheme="majorHAnsi"/>
                  <w:bCs/>
                  <w:sz w:val="26"/>
                  <w:szCs w:val="26"/>
                  <w:lang w:val="en-US"/>
                </w:rPr>
                <w:t>Văn bản hợp nhất 07/VBHN-BCT năm 2014</w:t>
              </w:r>
            </w:hyperlink>
            <w:r w:rsidRPr="0042003E">
              <w:rPr>
                <w:rFonts w:asciiTheme="majorHAnsi" w:hAnsiTheme="majorHAnsi" w:cstheme="majorHAnsi"/>
                <w:bCs/>
                <w:sz w:val="26"/>
                <w:szCs w:val="26"/>
                <w:lang w:val="en-US"/>
              </w:rPr>
              <w:t xml:space="preserve"> hợp nhất hướng dẫn việc cấp chứng nhận và thủ tục nhập khẩu, xuất khẩu kim cương thô nhằm thực thi các quy định của Quy chế Chứng nhận Quy trình Kimberley do Bộ Công thương </w:t>
            </w:r>
            <w:r w:rsidRPr="0042003E">
              <w:rPr>
                <w:rFonts w:asciiTheme="majorHAnsi" w:hAnsiTheme="majorHAnsi" w:cstheme="majorHAnsi"/>
                <w:bCs/>
                <w:sz w:val="26"/>
                <w:szCs w:val="26"/>
                <w:lang w:val="en-US"/>
              </w:rPr>
              <w:lastRenderedPageBreak/>
              <w:t>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4" w:history="1">
              <w:r w:rsidRPr="0042003E">
                <w:rPr>
                  <w:rStyle w:val="Hyperlink"/>
                  <w:rFonts w:asciiTheme="majorHAnsi" w:hAnsiTheme="majorHAnsi" w:cstheme="majorHAnsi"/>
                  <w:bCs/>
                  <w:sz w:val="26"/>
                  <w:szCs w:val="26"/>
                  <w:lang w:val="en-US"/>
                </w:rPr>
                <w:t>Văn bản hợp nhất 05/VBHN-BCT năm 2014</w:t>
              </w:r>
            </w:hyperlink>
            <w:r w:rsidRPr="0042003E">
              <w:rPr>
                <w:rFonts w:asciiTheme="majorHAnsi" w:hAnsiTheme="majorHAnsi" w:cstheme="majorHAnsi"/>
                <w:bCs/>
                <w:sz w:val="26"/>
                <w:szCs w:val="26"/>
                <w:lang w:val="en-US"/>
              </w:rPr>
              <w:t xml:space="preserve"> hợp nhất Quyết định ngừng tạm nhập tái xuất, chuyển khẩu đồ gỗ thành phẩm qua Việt Nam sang Hoa Kỳ và Quy định về tạm nhập tái xuất tinh dầu xá xị phải có giấy phép của Bộ Thương mại do Bộ Công thương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5" w:history="1">
              <w:r w:rsidRPr="0042003E">
                <w:rPr>
                  <w:rStyle w:val="Hyperlink"/>
                  <w:rFonts w:asciiTheme="majorHAnsi" w:hAnsiTheme="majorHAnsi" w:cstheme="majorHAnsi"/>
                  <w:bCs/>
                  <w:sz w:val="26"/>
                  <w:szCs w:val="26"/>
                  <w:lang w:val="en-US"/>
                </w:rPr>
                <w:t>Văn bản hợp nhất 24/VBHN-BTC</w:t>
              </w:r>
            </w:hyperlink>
            <w:r w:rsidRPr="0042003E">
              <w:rPr>
                <w:rFonts w:asciiTheme="majorHAnsi" w:hAnsiTheme="majorHAnsi" w:cstheme="majorHAnsi"/>
                <w:bCs/>
                <w:sz w:val="26"/>
                <w:szCs w:val="26"/>
                <w:lang w:val="en-US"/>
              </w:rPr>
              <w:t xml:space="preserve"> năm 2018 hợp nhất Nghị định hướng dẫn Luật Hải quan về thủ tục hải quan, kiểm tra, giám sát, kiểm soát hải quan do Bộ Tài chính ban hành</w:t>
            </w:r>
          </w:p>
          <w:p w:rsidR="0042003E" w:rsidRPr="0042003E" w:rsidRDefault="0042003E" w:rsidP="0042003E">
            <w:pPr>
              <w:pStyle w:val="ListParagraph"/>
              <w:numPr>
                <w:ilvl w:val="0"/>
                <w:numId w:val="2"/>
              </w:numPr>
              <w:spacing w:line="360" w:lineRule="auto"/>
              <w:jc w:val="both"/>
              <w:rPr>
                <w:rFonts w:asciiTheme="majorHAnsi" w:hAnsiTheme="majorHAnsi" w:cstheme="majorHAnsi"/>
                <w:bCs/>
                <w:sz w:val="26"/>
                <w:szCs w:val="26"/>
                <w:lang w:val="en-US"/>
              </w:rPr>
            </w:pPr>
            <w:hyperlink r:id="rId56" w:history="1">
              <w:r w:rsidRPr="0042003E">
                <w:rPr>
                  <w:rStyle w:val="Hyperlink"/>
                  <w:rFonts w:asciiTheme="majorHAnsi" w:hAnsiTheme="majorHAnsi" w:cstheme="majorHAnsi"/>
                  <w:bCs/>
                  <w:sz w:val="26"/>
                  <w:szCs w:val="26"/>
                  <w:lang w:val="en-US"/>
                </w:rPr>
                <w:t>Văn bản hợp nhất 07/TTHN-BYT năm 2013</w:t>
              </w:r>
            </w:hyperlink>
            <w:r w:rsidRPr="0042003E">
              <w:rPr>
                <w:rFonts w:asciiTheme="majorHAnsi" w:hAnsiTheme="majorHAnsi" w:cstheme="majorHAnsi"/>
                <w:bCs/>
                <w:sz w:val="26"/>
                <w:szCs w:val="26"/>
                <w:lang w:val="en-US"/>
              </w:rPr>
              <w:t xml:space="preserve"> hợp nhất Thông tư hướng dẫn hoạt động xuất, nhập khẩu thuốc và bao bì tiếp xúc trực tiếp với thuốc do Bộ Y tế ban hành.</w:t>
            </w:r>
          </w:p>
        </w:tc>
      </w:tr>
    </w:tbl>
    <w:p w:rsidR="00F27DF4" w:rsidRPr="00F27DF4" w:rsidRDefault="00F27DF4" w:rsidP="00F27DF4">
      <w:pPr>
        <w:spacing w:line="360" w:lineRule="auto"/>
        <w:jc w:val="both"/>
        <w:rPr>
          <w:rFonts w:asciiTheme="majorHAnsi" w:hAnsiTheme="majorHAnsi" w:cstheme="majorHAnsi"/>
          <w:sz w:val="26"/>
          <w:szCs w:val="26"/>
          <w:lang w:val="en-US"/>
        </w:rPr>
      </w:pPr>
    </w:p>
    <w:sectPr w:rsidR="00F27DF4" w:rsidRPr="00F27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84D0E"/>
    <w:multiLevelType w:val="hybridMultilevel"/>
    <w:tmpl w:val="7188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94B31"/>
    <w:multiLevelType w:val="hybridMultilevel"/>
    <w:tmpl w:val="BE3C816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F4"/>
    <w:rsid w:val="00386B31"/>
    <w:rsid w:val="004056DF"/>
    <w:rsid w:val="0042003E"/>
    <w:rsid w:val="00CA10CD"/>
    <w:rsid w:val="00F27D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7DF4"/>
    <w:rPr>
      <w:color w:val="0000FF" w:themeColor="hyperlink"/>
      <w:u w:val="single"/>
    </w:rPr>
  </w:style>
  <w:style w:type="paragraph" w:styleId="ListParagraph">
    <w:name w:val="List Paragraph"/>
    <w:basedOn w:val="Normal"/>
    <w:uiPriority w:val="34"/>
    <w:qFormat/>
    <w:rsid w:val="004200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7DF4"/>
    <w:rPr>
      <w:color w:val="0000FF" w:themeColor="hyperlink"/>
      <w:u w:val="single"/>
    </w:rPr>
  </w:style>
  <w:style w:type="paragraph" w:styleId="ListParagraph">
    <w:name w:val="List Paragraph"/>
    <w:basedOn w:val="Normal"/>
    <w:uiPriority w:val="34"/>
    <w:qFormat/>
    <w:rsid w:val="00420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van-ban-hop-nhat-03-vbhn-btc-2020-xac-dinh-xuat-xu-hang-hoa-xuat-khau-nhap-khau-6a590.html" TargetMode="External"/><Relationship Id="rId18" Type="http://schemas.openxmlformats.org/officeDocument/2006/relationships/hyperlink" Target="https://thukyluat.vn/vb/van-ban-hop-nhat-35-vbhn-btc-2019-cap-va-thu-hoi-ma-so-nhan-vien-dai-ly-lam-thu-tuc-hai-quan-669f8.html" TargetMode="External"/><Relationship Id="rId26" Type="http://schemas.openxmlformats.org/officeDocument/2006/relationships/hyperlink" Target="https://thukyluat.vn/vb/van-ban-hop-nhat-17-vbhn-vpqh-2018-luat-hai-quan-2014-642a1.html" TargetMode="External"/><Relationship Id="rId39" Type="http://schemas.openxmlformats.org/officeDocument/2006/relationships/hyperlink" Target="https://thukyluat.vn/vb/van-ban-hop-nhat-2641-vbhn-bvhttdl-thong-tu-huong-dan-32-2012-nd-cp-van-hoa-pham-kinh-doanh-2016-4f197.html" TargetMode="External"/><Relationship Id="rId21" Type="http://schemas.openxmlformats.org/officeDocument/2006/relationships/hyperlink" Target="https://thukyluat.vn/vb/van-ban-hop-nhat-02-vbhn-bnnptnt-2019-kiem-dich-thuc-vat-nhap-khau-xuat-khau-qua-canh-6466e.html" TargetMode="External"/><Relationship Id="rId34" Type="http://schemas.openxmlformats.org/officeDocument/2006/relationships/hyperlink" Target="https://thukyluat.vn/vb/van-ban-hop-nhat-17-vbhn-bct-2017-chat-luong-thep-san-xuat-trong-nuoc-va-thep-nhap-khau-5adac.html" TargetMode="External"/><Relationship Id="rId42" Type="http://schemas.openxmlformats.org/officeDocument/2006/relationships/hyperlink" Target="https://thukyluat.vn/vb/van-ban-hop-nhat-22-vbhn-bnnptnt-thong-tu-huong-dan-viec-quy-dinh-giay-chung-nhan-luu-hanh-tu-do-45a29.html" TargetMode="External"/><Relationship Id="rId47" Type="http://schemas.openxmlformats.org/officeDocument/2006/relationships/hyperlink" Target="https://thukyluat.vn/vb/van-ban-hop-nhat-07-vbhn-vpqh-2014-hop-nhat-luat-hai-quan-do-van-phong-quoc-hoi-ban-hanh-4092d.html" TargetMode="External"/><Relationship Id="rId50" Type="http://schemas.openxmlformats.org/officeDocument/2006/relationships/hyperlink" Target="https://thukyluat.vn/vb/van-ban-hop-nhat-11-vbhn-nhnn-2014-thanh-toan-mua-ban-khu-vuc-bien-gioi-cua-khau-viet-trung-39506.html" TargetMode="External"/><Relationship Id="rId55" Type="http://schemas.openxmlformats.org/officeDocument/2006/relationships/hyperlink" Target="https://thukyluat.vn/vb/van-ban-hop-nhat-24-vbhn-btc-2018-nghi-dinh-huong-dan-luat-hai-quan-ve-kiem-soat-hai-quan-5f6c2.html" TargetMode="External"/><Relationship Id="rId7" Type="http://schemas.openxmlformats.org/officeDocument/2006/relationships/hyperlink" Target="https://thukyluat.vn/vb/van-ban-hop-nhat-29-vbhn-btc-2020-thong-tu-kiem-soat-hang-hoa-xam-pham-quyen-so-huu-tri-tue-6dc19.html" TargetMode="External"/><Relationship Id="rId12" Type="http://schemas.openxmlformats.org/officeDocument/2006/relationships/hyperlink" Target="https://thukyluat.vn/vb/van-ban-hop-nhat-09-vbhn-btc-2020-thong-tu-bieu-muc-thu-phi-le-phi-hang-hai-6b0a4.html" TargetMode="External"/><Relationship Id="rId17" Type="http://schemas.openxmlformats.org/officeDocument/2006/relationships/hyperlink" Target="https://thukyluat.vn/vb/van-ban-hop-nhat-11-vbhn-bct-2019-quy-tac-xuat-xu-hiep-dinh-thuong-mai-tu-asean-han-quoc-67f71.html" TargetMode="External"/><Relationship Id="rId25" Type="http://schemas.openxmlformats.org/officeDocument/2006/relationships/hyperlink" Target="https://thukyluat.vn/vb/van-ban-hop-nhat-08-vbhn-bgtvt-2018-doi-tuong-dieu-kien-duoc-phep-nhap-khau-pha-do-tau-bien-6330a.html" TargetMode="External"/><Relationship Id="rId33" Type="http://schemas.openxmlformats.org/officeDocument/2006/relationships/hyperlink" Target="https://thukyluat.vn/vb/van-ban-hop-nhat-03-vbhn-bct-2018-xuat-khau-khoang-san-5b26b.html" TargetMode="External"/><Relationship Id="rId38" Type="http://schemas.openxmlformats.org/officeDocument/2006/relationships/hyperlink" Target="https://thukyluat.vn/vb/van-ban-hop-nhat-10-vbhn-btc-xu-phat-vi-pham-hanh-chinh-cuong-che-thi-hanh-linh-vuc-hai-quan-2016-4e2bb.html" TargetMode="External"/><Relationship Id="rId46" Type="http://schemas.openxmlformats.org/officeDocument/2006/relationships/hyperlink" Target="https://thukyluat.vn/vb/van-ban-hop-nhat-19-vbhn-vpqh-2014-hop-nhat-luat-thue-xuat-khau-thue-nhap-khau-40937.html" TargetMode="External"/><Relationship Id="rId2" Type="http://schemas.openxmlformats.org/officeDocument/2006/relationships/styles" Target="styles.xml"/><Relationship Id="rId16" Type="http://schemas.openxmlformats.org/officeDocument/2006/relationships/hyperlink" Target="https://thukyluat.vn/vb/van-ban-hop-nhat-22-vbhn-nhnn-2019-nhap-khau-hang-hoa-phuc-vu-hoat-dong-in-duc-tien-67d6e.html" TargetMode="External"/><Relationship Id="rId20" Type="http://schemas.openxmlformats.org/officeDocument/2006/relationships/hyperlink" Target="https://thukyluat.vn/vb/van-ban-hop-nhat-04-vbhn-bnnptnt-2019-kiem-tra-an-toan-thuc-pham-thuy-san-xuat-khau-65adc.html" TargetMode="External"/><Relationship Id="rId29" Type="http://schemas.openxmlformats.org/officeDocument/2006/relationships/hyperlink" Target="https://thukyluat.vn/vb/van-ban-hop-nhat-2950-vbhn-bvhttdl-2018-nhap-khau-van-hoa-pham-khong-nham-kinh-doanh-5fdf9.html" TargetMode="External"/><Relationship Id="rId41" Type="http://schemas.openxmlformats.org/officeDocument/2006/relationships/hyperlink" Target="https://thukyluat.vn/vb/van-ban-hop-nhat-01-vbhn-bnnptnt-nam-2016-hop-nhat-thong-tu-quy-dinh-ve-kiem-dich-nhap-khau-trau-bo-tu-cac-nuoc-lao-va-campuchia-vao-viet-nam-do-bo-no-49593.html" TargetMode="External"/><Relationship Id="rId54" Type="http://schemas.openxmlformats.org/officeDocument/2006/relationships/hyperlink" Target="https://thukyluat.vn/vb/van-ban-hop-nhat-05-vbhn-bct-nam-2014-hop-nhat-ngung-tam-nhap-tai-xuat-do-go-thanh-pham-tinh-dau-xa-xi-35ddd.html" TargetMode="External"/><Relationship Id="rId1" Type="http://schemas.openxmlformats.org/officeDocument/2006/relationships/numbering" Target="numbering.xml"/><Relationship Id="rId6" Type="http://schemas.openxmlformats.org/officeDocument/2006/relationships/hyperlink" Target="https://thukyluat.vn/vb/van-ban-hop-nhat-32-vbhn-btc-2020-danh-muc-thue-nhap-khau-ngoai-han-ngach-thue-quan-6dc06.html" TargetMode="External"/><Relationship Id="rId11" Type="http://schemas.openxmlformats.org/officeDocument/2006/relationships/hyperlink" Target="https://thukyluat.vn/vb/van-ban-hop-nhat-05-vbhn-bct-2020-thong-tu-huong-dan-ve-kinh-doanh-xuat-khau-gao-6c4b1.html" TargetMode="External"/><Relationship Id="rId24" Type="http://schemas.openxmlformats.org/officeDocument/2006/relationships/hyperlink" Target="https://thukyluat.vn/vb/van-ban-hop-nhat-01-vbhn-btc-2019-huong-dan-nhap-xuat-mua-ban-hang-du-tru-quoc-gia-639d0.html" TargetMode="External"/><Relationship Id="rId32" Type="http://schemas.openxmlformats.org/officeDocument/2006/relationships/hyperlink" Target="https://thukyluat.vn/vb/van-ban-hop-nhat-05-vbhn-bct-2018-xuat-khau-than-5b26d.html" TargetMode="External"/><Relationship Id="rId37" Type="http://schemas.openxmlformats.org/officeDocument/2006/relationships/hyperlink" Target="https://thukyluat.vn/vb/van-ban-hop-nhat-07-vbhn-bnnptnt-2017-hop-nhat-thong-tu-kiem-tra-an-toan-thuy-san-xuat-khau-5536e.html" TargetMode="External"/><Relationship Id="rId40" Type="http://schemas.openxmlformats.org/officeDocument/2006/relationships/hyperlink" Target="https://thukyluat.vn/vb/van-ban-hop-nhat-03-vbhn-byt-2016-thong-tu-huong-dan-xuat-khau-nhap-khau-thuoc-6203d.html" TargetMode="External"/><Relationship Id="rId45" Type="http://schemas.openxmlformats.org/officeDocument/2006/relationships/hyperlink" Target="https://thukyluat.vn/vb/van-ban-hop-nhat-02-vbhn-bgtvt-2015-kiem-tra-chat-luong-xe-co-gioi-nhap-khau-40bf4.html" TargetMode="External"/><Relationship Id="rId53" Type="http://schemas.openxmlformats.org/officeDocument/2006/relationships/hyperlink" Target="https://thukyluat.vn/vb/van-ban-hop-nhat-07-vbhn-bct-nam-2014-hop-nhat-chung-nhan-thu-tuc-nhap-xuat-khau-kim-cuong-tho-35e15.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kyluat.vn/vb/van-ban-hop-nhat-01-vbhn-btc-2020-thong-tu-thu-tuc-hai-quan-doi-voi-hang-hoa-xuat-khau-6a1e0.html" TargetMode="External"/><Relationship Id="rId23" Type="http://schemas.openxmlformats.org/officeDocument/2006/relationships/hyperlink" Target="https://thukyluat.vn/vb/van-ban-hop-nhat-14-vbhn-btc-2019-thu-phi-du-dieu-kien-ve-bao-ve-moi-truong-nhap-khau-phe-lieu-639e2.html" TargetMode="External"/><Relationship Id="rId28" Type="http://schemas.openxmlformats.org/officeDocument/2006/relationships/hyperlink" Target="https://thukyluat.vn/vb/van-ban-hop-nhat-24-vbhn-btc-2018-nghi-dinh-huong-dan-luat-hai-quan-ve-kiem-soat-hai-quan-5f6c2.html" TargetMode="External"/><Relationship Id="rId36" Type="http://schemas.openxmlformats.org/officeDocument/2006/relationships/hyperlink" Target="https://thukyluat.vn/vb/van-ban-hop-nhat-06-vbhn-bkhcn-2017-quy-dinh-kiem-tra-chat-luong-hang-hoa-nhap-khau-5a230.html" TargetMode="External"/><Relationship Id="rId49" Type="http://schemas.openxmlformats.org/officeDocument/2006/relationships/hyperlink" Target="https://thukyluat.vn/vb/van-ban-hop-nhat-23-vbhn-bct-2014-thu-tuc-cap-giay-chung-nhan-xuat-xu-hang-hoa-uu-dai-39042.html" TargetMode="External"/><Relationship Id="rId57" Type="http://schemas.openxmlformats.org/officeDocument/2006/relationships/fontTable" Target="fontTable.xml"/><Relationship Id="rId10" Type="http://schemas.openxmlformats.org/officeDocument/2006/relationships/hyperlink" Target="V&#259;n%20b&#7843;n%20h&#7907;p%20nh&#7845;t%2002/VBHN-BGTVT%202020%20ki&#7875;m%20tra%20ch&#7845;t%20l&#432;&#7907;ng%20an%20to&#224;n%20k&#7929;%20thu&#7853;t%20&#273;&#7889;i%20v&#7899;i%20&#244;%20t&#244;%20nh&#7853;p%20kh&#7849;u" TargetMode="External"/><Relationship Id="rId19" Type="http://schemas.openxmlformats.org/officeDocument/2006/relationships/hyperlink" Target="https://thukyluat.vn/vb/van-ban-hop-nhat-04-vbhn-bnnptnt-2019-kiem-tra-an-toan-thuc-pham-thuy-san-xuat-khau-65adc.html" TargetMode="External"/><Relationship Id="rId31" Type="http://schemas.openxmlformats.org/officeDocument/2006/relationships/hyperlink" Target="https://thukyluat.vn/vb/van-ban-hop-nhat-17-vbhn-btc-2018-tam-nhap-khau-tieu-huy-doi-voi-xe-o-to-xe-hai-banh-5e38a.html" TargetMode="External"/><Relationship Id="rId44" Type="http://schemas.openxmlformats.org/officeDocument/2006/relationships/hyperlink" Target="https://thukyluat.vn/vb/van-ban-hop-nhat-15-vbhn-bnnptnt-hop-nhat-nghi-dinh-nhap-khau-tau-ca-42b84.html" TargetMode="External"/><Relationship Id="rId52" Type="http://schemas.openxmlformats.org/officeDocument/2006/relationships/hyperlink" Target="https://thukyluat.vn/vb/van-ban-hop-nhat-03-vbhn-bct-nam-2014-hop-nhat-nhap-khau-thuoc-la-kinh-doanh-ban-hang-mien-thue-35da2.html" TargetMode="External"/><Relationship Id="rId4" Type="http://schemas.openxmlformats.org/officeDocument/2006/relationships/settings" Target="settings.xml"/><Relationship Id="rId9" Type="http://schemas.openxmlformats.org/officeDocument/2006/relationships/hyperlink" Target="https://thukyluat.vn/vb/van-ban-hop-nhat-21-vbhn-btc-2020-thong-tu-tri-gia-hai-quan-doi-voi-hang-hoa-xuat-khau-6c54a.html" TargetMode="External"/><Relationship Id="rId14" Type="http://schemas.openxmlformats.org/officeDocument/2006/relationships/hyperlink" Target="https://thukyluat.vn/vb/van-ban-hop-nhat-02-vbhn-btc-2020-thu-tuc-hai-quan-hang-hoa-xuat-khau-qua-buu-chinh-6a1e1.html" TargetMode="External"/><Relationship Id="rId22" Type="http://schemas.openxmlformats.org/officeDocument/2006/relationships/hyperlink" Target="https://thukyluat.vn/vb/van-ban-hop-nhat-22-vbhn-btc-2019-thu-tuc-tai-xuat-xe-o-to-nguoi-huong-quyen-mien-tru-6427c.html" TargetMode="External"/><Relationship Id="rId27" Type="http://schemas.openxmlformats.org/officeDocument/2006/relationships/hyperlink" Target="https://thukyluat.vn/vb/van-ban-hop-nhat-25-vbhn-btc-2018-thu-tuc-hai-quan-thue-xuat-nhap-khau-60ab1.html" TargetMode="External"/><Relationship Id="rId30" Type="http://schemas.openxmlformats.org/officeDocument/2006/relationships/hyperlink" Target="https://thukyluat.vn/vb/van-ban-hop-nhat-08-vbhn-bnnptnt-2018-giay-chung-nhan-luu-hanh-tu-do-hang-hoa-nhap-khau-5e6e7.html" TargetMode="External"/><Relationship Id="rId35" Type="http://schemas.openxmlformats.org/officeDocument/2006/relationships/hyperlink" Target="https://thukyluat.vn/vb/van-ban-hop-nhat-15-vbhn-bct-2017-thong-tu-ve-qua-canh-hang-hoa-cua-lao-qua-viet-nam-58ec1.html" TargetMode="External"/><Relationship Id="rId43" Type="http://schemas.openxmlformats.org/officeDocument/2006/relationships/hyperlink" Target="https://thukyluat.vn/vb/van-ban-hop-nhat-09-vbhn-btc-2015-hop-nhat-nghi-dinh-huong-dan-luat-thue-xuat-khau-thue-nhap-khau-43e59.html" TargetMode="External"/><Relationship Id="rId48" Type="http://schemas.openxmlformats.org/officeDocument/2006/relationships/hyperlink" Target="https://thukyluat.vn/vb/van-ban-hop-nhat-09-vbhn-byt-2014-hop-nhat-thong-tu-huong-dan-xuat-nhap-khau-thuoc-bao-bi-thuoc-3abba.html" TargetMode="External"/><Relationship Id="rId56" Type="http://schemas.openxmlformats.org/officeDocument/2006/relationships/hyperlink" Target="https://thukyluat.vn/vb/van-ban-hop-nhat-07-tthn-byt-nam-2013-hop-nhat-thong-tu-huong-dan-xuat-nhap-khau-thuoc-33d60.html" TargetMode="External"/><Relationship Id="rId8" Type="http://schemas.openxmlformats.org/officeDocument/2006/relationships/hyperlink" Target="https://thukyluat.vn/vb/van-ban-hop-nhat-54-vbhn-bct-2020-nghi-dinh-dieu-kien-nhap-khau-va-kinh-doanh-o-to-6c502.html" TargetMode="External"/><Relationship Id="rId51" Type="http://schemas.openxmlformats.org/officeDocument/2006/relationships/hyperlink" Target="https://thukyluat.vn/vb/van-ban-hop-nhat-11-vbhn-btc-nam-2014-hop-nhat-mau-in-phat-hanh-quan-ly-to-khai-nhap-xuat-canh-36154.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2020-12-04T08:52:00Z</dcterms:created>
  <dcterms:modified xsi:type="dcterms:W3CDTF">2020-12-04T09:27:00Z</dcterms:modified>
</cp:coreProperties>
</file>